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35" w:rsidRPr="00FB47D9" w:rsidRDefault="00916335" w:rsidP="00916335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B47D9">
        <w:rPr>
          <w:rFonts w:ascii="华文中宋" w:eastAsia="华文中宋" w:hAnsi="华文中宋" w:hint="eastAsia"/>
          <w:b/>
          <w:sz w:val="44"/>
          <w:szCs w:val="44"/>
        </w:rPr>
        <w:t>中国石油大学(华东)翻译硕士</w:t>
      </w:r>
      <w:r w:rsidRPr="00FB47D9">
        <w:rPr>
          <w:rFonts w:ascii="华文中宋" w:eastAsia="华文中宋" w:hAnsi="华文中宋"/>
          <w:b/>
          <w:sz w:val="44"/>
          <w:szCs w:val="44"/>
        </w:rPr>
        <w:t>(MTI)</w:t>
      </w:r>
      <w:r w:rsidRPr="00FB47D9">
        <w:rPr>
          <w:rFonts w:ascii="华文中宋" w:eastAsia="华文中宋" w:hAnsi="华文中宋" w:hint="eastAsia"/>
          <w:b/>
          <w:sz w:val="44"/>
          <w:szCs w:val="44"/>
        </w:rPr>
        <w:t>研究生</w:t>
      </w:r>
    </w:p>
    <w:p w:rsidR="00916335" w:rsidRPr="00FB47D9" w:rsidRDefault="00916335" w:rsidP="00916335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B47D9">
        <w:rPr>
          <w:rFonts w:ascii="华文中宋" w:eastAsia="华文中宋" w:hAnsi="华文中宋" w:hint="eastAsia"/>
          <w:b/>
          <w:sz w:val="44"/>
          <w:szCs w:val="44"/>
        </w:rPr>
        <w:t>学位论文与答辩工作指导意见</w:t>
      </w:r>
    </w:p>
    <w:p w:rsidR="00916335" w:rsidRPr="00FB47D9" w:rsidRDefault="00916335" w:rsidP="00916335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B47D9">
        <w:rPr>
          <w:rFonts w:ascii="仿宋_GB2312" w:eastAsia="仿宋_GB2312" w:hAnsi="华文中宋" w:hint="eastAsia"/>
          <w:sz w:val="32"/>
          <w:szCs w:val="32"/>
        </w:rPr>
        <w:t>中</w:t>
      </w:r>
      <w:r w:rsidRPr="00FB47D9">
        <w:rPr>
          <w:rFonts w:ascii="仿宋_GB2312" w:eastAsia="仿宋_GB2312" w:hAnsi="宋体" w:hint="eastAsia"/>
          <w:sz w:val="32"/>
          <w:szCs w:val="32"/>
        </w:rPr>
        <w:t>石</w:t>
      </w:r>
      <w:r w:rsidRPr="00FB47D9">
        <w:rPr>
          <w:rFonts w:ascii="仿宋_GB2312" w:eastAsia="仿宋_GB2312" w:hAnsi="华文中宋" w:hint="eastAsia"/>
          <w:sz w:val="32"/>
          <w:szCs w:val="32"/>
        </w:rPr>
        <w:t>大东发〔2012〕87号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为明确翻译硕士</w:t>
      </w:r>
      <w:r w:rsidRPr="00FB47D9">
        <w:rPr>
          <w:rFonts w:ascii="仿宋_GB2312" w:eastAsia="仿宋_GB2312"/>
          <w:bCs/>
          <w:sz w:val="32"/>
          <w:szCs w:val="32"/>
        </w:rPr>
        <w:t>(MTI)</w:t>
      </w:r>
      <w:r w:rsidRPr="00FB47D9">
        <w:rPr>
          <w:rFonts w:ascii="仿宋_GB2312" w:eastAsia="仿宋_GB2312" w:hint="eastAsia"/>
          <w:bCs/>
          <w:sz w:val="32"/>
          <w:szCs w:val="32"/>
        </w:rPr>
        <w:t>专业学位研究生学位论文基本要求，保证学位授予质量，根据国务院学位委员会《翻译硕士专业学位设置方案》和《中国石油大学博士、硕士学位授予实施细则》，制定本指导意见。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一、学位论文选题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研究生学位论文选题应来源于真实的翻译实践。在修满规定学分后，研究生应就学位论文选题及时与导师进行协商，于第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学期提交论文开题报告，阐述研究目的、研究方法、研究文献、论文基本结构和可能得出的结论等。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研究生学位论文开题论证由学院统一组织进行综合考评，一般应在第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学期结束前分批次对准备充分的选题组织论证，提出修改或者进一步完善的意见，完成开题工作。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．研究生在论文选题通过后即进入翻译实践和学位论文写作阶段；在撰写学位论文期间研究生每月应至少接受导师当面辅导一次。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4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研究生学位论文工作时间（从论文开题至论文答辩）应不少于</w:t>
      </w:r>
      <w:r w:rsidRPr="00FB47D9">
        <w:rPr>
          <w:rFonts w:ascii="仿宋_GB2312" w:eastAsia="仿宋_GB2312"/>
          <w:bCs/>
          <w:sz w:val="32"/>
          <w:szCs w:val="32"/>
        </w:rPr>
        <w:t>6</w:t>
      </w:r>
      <w:r w:rsidRPr="00FB47D9">
        <w:rPr>
          <w:rFonts w:ascii="仿宋_GB2312" w:eastAsia="仿宋_GB2312" w:hint="eastAsia"/>
          <w:bCs/>
          <w:sz w:val="32"/>
          <w:szCs w:val="32"/>
        </w:rPr>
        <w:t>个月。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二、学位论文内容基本要求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研究生学位论文一般使用中文撰写，应能体现研究生的知识水平和实际翻译能力，具体可采用以下一种形式：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lastRenderedPageBreak/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．翻译项目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）研究生在导师指导下翻译长度为</w:t>
      </w:r>
      <w:r w:rsidRPr="00FB47D9">
        <w:rPr>
          <w:rFonts w:ascii="仿宋_GB2312" w:eastAsia="仿宋_GB2312"/>
          <w:bCs/>
          <w:sz w:val="32"/>
          <w:szCs w:val="32"/>
        </w:rPr>
        <w:t>10000</w:t>
      </w:r>
      <w:r w:rsidRPr="00FB47D9">
        <w:rPr>
          <w:rFonts w:ascii="仿宋_GB2312" w:eastAsia="仿宋_GB2312" w:hint="eastAsia"/>
          <w:bCs/>
          <w:sz w:val="32"/>
          <w:szCs w:val="32"/>
        </w:rPr>
        <w:t>字以上、难度适中的中外源文本。在源文本选择上，要尽量选取以前未经翻译的文本；如果该文本已有译本，应予注明并</w:t>
      </w:r>
      <w:proofErr w:type="gramStart"/>
      <w:r w:rsidRPr="00FB47D9">
        <w:rPr>
          <w:rFonts w:ascii="仿宋_GB2312" w:eastAsia="仿宋_GB2312" w:hint="eastAsia"/>
          <w:bCs/>
          <w:sz w:val="32"/>
          <w:szCs w:val="32"/>
        </w:rPr>
        <w:t>阐述再</w:t>
      </w:r>
      <w:proofErr w:type="gramEnd"/>
      <w:r w:rsidRPr="00FB47D9">
        <w:rPr>
          <w:rFonts w:ascii="仿宋_GB2312" w:eastAsia="仿宋_GB2312" w:hint="eastAsia"/>
          <w:bCs/>
          <w:sz w:val="32"/>
          <w:szCs w:val="32"/>
        </w:rPr>
        <w:t>译的理由，且应提前获得导师同意。另外，源文本必须是完整、独立的文本，或内容相关的一组文本。源文本原则上须与培养方向相一致。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）研究生根据译文就翻译问题，如翻译策略、译文风格及形成原因、翻译过程中遇到的具体问题及解决方案、翻译工具的使用等写出不少于</w:t>
      </w:r>
      <w:r w:rsidRPr="00FB47D9">
        <w:rPr>
          <w:rFonts w:ascii="仿宋_GB2312" w:eastAsia="仿宋_GB2312"/>
          <w:bCs/>
          <w:sz w:val="32"/>
          <w:szCs w:val="32"/>
        </w:rPr>
        <w:t>5000</w:t>
      </w:r>
      <w:r w:rsidRPr="00FB47D9">
        <w:rPr>
          <w:rFonts w:ascii="仿宋_GB2312" w:eastAsia="仿宋_GB2312" w:hint="eastAsia"/>
          <w:bCs/>
          <w:sz w:val="32"/>
          <w:szCs w:val="32"/>
        </w:rPr>
        <w:t>字的研究报告。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）论文要求观点明确、言之有物，内容充实，举例恰当，能够充分运用在翻译理论及翻译实践中所学到的知识和技能。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4</w:t>
      </w:r>
      <w:r w:rsidRPr="00FB47D9">
        <w:rPr>
          <w:rFonts w:ascii="仿宋_GB2312" w:eastAsia="仿宋_GB2312" w:hint="eastAsia"/>
          <w:bCs/>
          <w:sz w:val="32"/>
          <w:szCs w:val="32"/>
        </w:rPr>
        <w:t>）论文须符合写作规范，引用他人学术观点或研究成果要注明出处，文献目录应符合学校和学院相关规定。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．实验报告</w:t>
      </w:r>
      <w:r w:rsidRPr="00FB47D9">
        <w:rPr>
          <w:rFonts w:ascii="仿宋_GB2312" w:eastAsia="仿宋_GB2312"/>
          <w:bCs/>
          <w:sz w:val="32"/>
          <w:szCs w:val="32"/>
        </w:rPr>
        <w:t> 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）实验报告须提出明确的研究目标，并较详尽的介绍相关文献和研究方法。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）在导师指导下就口译或笔译的某个环节进行小规模的、观察描写性或实验性研究，并提供准确的实验数据和结果。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）对实验数据和结果做出合理分析，得出恰当的结论。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lastRenderedPageBreak/>
        <w:t>（</w:t>
      </w:r>
      <w:r w:rsidRPr="00FB47D9">
        <w:rPr>
          <w:rFonts w:ascii="仿宋_GB2312" w:eastAsia="仿宋_GB2312"/>
          <w:bCs/>
          <w:sz w:val="32"/>
          <w:szCs w:val="32"/>
        </w:rPr>
        <w:t>4</w:t>
      </w:r>
      <w:r w:rsidRPr="00FB47D9">
        <w:rPr>
          <w:rFonts w:ascii="仿宋_GB2312" w:eastAsia="仿宋_GB2312" w:hint="eastAsia"/>
          <w:bCs/>
          <w:sz w:val="32"/>
          <w:szCs w:val="32"/>
        </w:rPr>
        <w:t>）实验报告应不少于</w:t>
      </w:r>
      <w:r w:rsidRPr="00FB47D9">
        <w:rPr>
          <w:rFonts w:ascii="仿宋_GB2312" w:eastAsia="仿宋_GB2312"/>
          <w:bCs/>
          <w:sz w:val="32"/>
          <w:szCs w:val="32"/>
        </w:rPr>
        <w:t>10000</w:t>
      </w:r>
      <w:r w:rsidRPr="00FB47D9">
        <w:rPr>
          <w:rFonts w:ascii="仿宋_GB2312" w:eastAsia="仿宋_GB2312" w:hint="eastAsia"/>
          <w:bCs/>
          <w:sz w:val="32"/>
          <w:szCs w:val="32"/>
        </w:rPr>
        <w:t>字，引文、数据分析以及文献目录等符合学术规范。口译研究应提供相应的语篇音像资料和讲稿。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．研究论文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）研究生在导师的指导下就翻译理论、翻译训练和翻译实践中的重要问题撰写研究论文。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）论文要求论点明确，文献详实、可靠，论证充分，语言精炼，结论合理；论文字数应不少于</w:t>
      </w:r>
      <w:r w:rsidRPr="00FB47D9">
        <w:rPr>
          <w:rFonts w:ascii="仿宋_GB2312" w:eastAsia="仿宋_GB2312"/>
          <w:bCs/>
          <w:sz w:val="32"/>
          <w:szCs w:val="32"/>
        </w:rPr>
        <w:t>15000</w:t>
      </w:r>
      <w:r w:rsidRPr="00FB47D9">
        <w:rPr>
          <w:rFonts w:ascii="仿宋_GB2312" w:eastAsia="仿宋_GB2312" w:hint="eastAsia"/>
          <w:bCs/>
          <w:sz w:val="32"/>
          <w:szCs w:val="32"/>
        </w:rPr>
        <w:t>字。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（</w:t>
      </w: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）论文须符合写作规范，引用他人学术观点或研究成果要注明出处，文献目录应符合学校和学院相关规定。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三、学位论文格式与写作要求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学位论文格式应符合《中国石油大学（华东）研究生学位论文书写基本要求》的统一要求；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学位论文一般应包括以下内容：⑴封面；⑵中文、外文扉页；⑶学位论文版权使用授权书；⑷学位论文原创性声明；⑸中文摘要、关键词；⑹</w:t>
      </w:r>
      <w:r w:rsidRPr="00FB47D9">
        <w:rPr>
          <w:rFonts w:ascii="仿宋_GB2312" w:eastAsia="仿宋_GB2312"/>
          <w:bCs/>
          <w:sz w:val="32"/>
          <w:szCs w:val="32"/>
        </w:rPr>
        <w:t>Abstract &amp; Key Words</w:t>
      </w:r>
      <w:r w:rsidRPr="00FB47D9">
        <w:rPr>
          <w:rFonts w:ascii="仿宋_GB2312" w:eastAsia="仿宋_GB2312" w:hint="eastAsia"/>
          <w:bCs/>
          <w:sz w:val="32"/>
          <w:szCs w:val="32"/>
        </w:rPr>
        <w:t>；⑺目录；⑻符号说明；⑼论文正文；⑽参考文献；⑾翻译实践译文部分；⑿附录（如译文原文、口译语篇音像资料和讲稿等）；⒀致谢；⒁学生个人简历、在学期间发表的学术论文及研究成果。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四、学位论文评审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．研究生在完成学位论文撰写工作后，应及时提交导师进行详细审阅和修改。经导师同意后方可付印并提交至学</w:t>
      </w:r>
      <w:r w:rsidRPr="00FB47D9">
        <w:rPr>
          <w:rFonts w:ascii="仿宋_GB2312" w:eastAsia="仿宋_GB2312" w:hint="eastAsia"/>
          <w:bCs/>
          <w:sz w:val="32"/>
          <w:szCs w:val="32"/>
        </w:rPr>
        <w:lastRenderedPageBreak/>
        <w:t>院，由学院组织同行专家进行评审。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．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学位论文一般采用匿名评审，由学院统一组织。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学位论文一般应聘请至少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位具有高级专业技术职务的专家作为论文评审人，且论文评审人中至少有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位校外专家。申请人导师不可作为论文评审人。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．学位论文在送交评审时，不得告知学生评审人姓名，评审意见应密封传递。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位评审专家持否定意见时，应由学院学位</w:t>
      </w:r>
      <w:proofErr w:type="gramStart"/>
      <w:r w:rsidRPr="00FB47D9">
        <w:rPr>
          <w:rFonts w:ascii="仿宋_GB2312" w:eastAsia="仿宋_GB2312" w:hint="eastAsia"/>
          <w:bCs/>
          <w:sz w:val="32"/>
          <w:szCs w:val="32"/>
        </w:rPr>
        <w:t>评定分</w:t>
      </w:r>
      <w:proofErr w:type="gramEnd"/>
      <w:r w:rsidRPr="00FB47D9">
        <w:rPr>
          <w:rFonts w:ascii="仿宋_GB2312" w:eastAsia="仿宋_GB2312" w:hint="eastAsia"/>
          <w:bCs/>
          <w:sz w:val="32"/>
          <w:szCs w:val="32"/>
        </w:rPr>
        <w:t>委员会审核并决定修改论文后，增聘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名专家重新评审、直接答辩或本次评审不通过；</w:t>
      </w: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位评审专家均持否定意见时，本次评审不通过。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五、学位论文答辩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．通过同行专家评审后，研究生本人应及时向学院提交答辩申请书，申请学位论文答辩。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研究生学位论文答辩由所在学院统一组织。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2</w:t>
      </w:r>
      <w:r w:rsidRPr="00FB47D9">
        <w:rPr>
          <w:rFonts w:ascii="仿宋_GB2312" w:eastAsia="仿宋_GB2312" w:hint="eastAsia"/>
          <w:bCs/>
          <w:sz w:val="32"/>
          <w:szCs w:val="32"/>
        </w:rPr>
        <w:t>．学位论文答辩委员会组成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学位论文答辩委员会由</w:t>
      </w:r>
      <w:r w:rsidRPr="00FB47D9">
        <w:rPr>
          <w:rFonts w:ascii="仿宋_GB2312" w:eastAsia="仿宋_GB2312"/>
          <w:bCs/>
          <w:sz w:val="32"/>
          <w:szCs w:val="32"/>
        </w:rPr>
        <w:t>5</w:t>
      </w:r>
      <w:r w:rsidRPr="00FB47D9">
        <w:rPr>
          <w:rFonts w:ascii="仿宋_GB2312" w:eastAsia="仿宋_GB2312" w:hint="eastAsia"/>
          <w:bCs/>
          <w:sz w:val="32"/>
          <w:szCs w:val="32"/>
        </w:rPr>
        <w:t>名具有高级职称的同领域专家组成，其中至少有</w:t>
      </w: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名是研究生导师，</w:t>
      </w:r>
      <w:r w:rsidRPr="00FB47D9" w:rsidDel="009B1CE6">
        <w:rPr>
          <w:rFonts w:ascii="仿宋_GB2312" w:eastAsia="仿宋_GB2312"/>
          <w:bCs/>
          <w:sz w:val="32"/>
          <w:szCs w:val="32"/>
        </w:rPr>
        <w:t xml:space="preserve"> </w:t>
      </w:r>
      <w:r w:rsidRPr="00FB47D9">
        <w:rPr>
          <w:rFonts w:ascii="仿宋_GB2312" w:eastAsia="仿宋_GB2312"/>
          <w:bCs/>
          <w:sz w:val="32"/>
          <w:szCs w:val="32"/>
        </w:rPr>
        <w:t>1</w:t>
      </w:r>
      <w:r w:rsidRPr="00FB47D9">
        <w:rPr>
          <w:rFonts w:ascii="仿宋_GB2312" w:eastAsia="仿宋_GB2312" w:hint="eastAsia"/>
          <w:bCs/>
          <w:sz w:val="32"/>
          <w:szCs w:val="32"/>
        </w:rPr>
        <w:t>名为校外且具有高级职称、实践经验丰富的口译或笔译专家（根据学位申请人的论文研究方向而定）。申请人的导师不能作为答辩委员会成员。答辩委员会的组成名单应在答辩前一周上报学院，经学院学位</w:t>
      </w:r>
      <w:proofErr w:type="gramStart"/>
      <w:r w:rsidRPr="00FB47D9">
        <w:rPr>
          <w:rFonts w:ascii="仿宋_GB2312" w:eastAsia="仿宋_GB2312" w:hint="eastAsia"/>
          <w:bCs/>
          <w:sz w:val="32"/>
          <w:szCs w:val="32"/>
        </w:rPr>
        <w:t>评定分</w:t>
      </w:r>
      <w:proofErr w:type="gramEnd"/>
      <w:r w:rsidRPr="00FB47D9">
        <w:rPr>
          <w:rFonts w:ascii="仿宋_GB2312" w:eastAsia="仿宋_GB2312" w:hint="eastAsia"/>
          <w:bCs/>
          <w:sz w:val="32"/>
          <w:szCs w:val="32"/>
        </w:rPr>
        <w:t>委员会的审批同意后，上报学校学位办公室备案。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/>
          <w:bCs/>
          <w:sz w:val="32"/>
          <w:szCs w:val="32"/>
        </w:rPr>
        <w:t>3</w:t>
      </w:r>
      <w:r w:rsidRPr="00FB47D9">
        <w:rPr>
          <w:rFonts w:ascii="仿宋_GB2312" w:eastAsia="仿宋_GB2312" w:hint="eastAsia"/>
          <w:bCs/>
          <w:sz w:val="32"/>
          <w:szCs w:val="32"/>
        </w:rPr>
        <w:t>．学位论文答辩决议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lastRenderedPageBreak/>
        <w:t>答辩委员就是否建议授予答辩人翻译硕士学位做出决议。决议采取不记名投票方式，经全体成员</w:t>
      </w:r>
      <w:r w:rsidRPr="00FB47D9">
        <w:rPr>
          <w:rFonts w:ascii="仿宋_GB2312" w:eastAsia="仿宋_GB2312"/>
          <w:bCs/>
          <w:sz w:val="32"/>
          <w:szCs w:val="32"/>
        </w:rPr>
        <w:t>4/5</w:t>
      </w:r>
      <w:r w:rsidRPr="00FB47D9">
        <w:rPr>
          <w:rFonts w:ascii="仿宋_GB2312" w:eastAsia="仿宋_GB2312" w:hint="eastAsia"/>
          <w:bCs/>
          <w:sz w:val="32"/>
          <w:szCs w:val="32"/>
        </w:rPr>
        <w:t>以上同意方可通过。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论文答辩未通过，本次学位申请无效。若论文答辩委员做出决议，建议申请人修改论文后再重新答辩者，可在半年后至一年内重新申请答辩一次，逾期未申请或答辩仍未通过者，学位申请无效。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B47D9">
        <w:rPr>
          <w:rFonts w:ascii="黑体" w:eastAsia="黑体" w:hAnsi="黑体" w:hint="eastAsia"/>
          <w:bCs/>
          <w:sz w:val="32"/>
          <w:szCs w:val="32"/>
        </w:rPr>
        <w:t>六、学位申请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修满规定学分、满足学位申请的其他要求并且通过学位论文答辩者，可申请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专业学位。</w:t>
      </w: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916335" w:rsidRPr="00FB47D9" w:rsidRDefault="00916335" w:rsidP="00916335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B47D9">
        <w:rPr>
          <w:rFonts w:ascii="仿宋_GB2312" w:eastAsia="仿宋_GB2312" w:hint="eastAsia"/>
          <w:bCs/>
          <w:sz w:val="32"/>
          <w:szCs w:val="32"/>
        </w:rPr>
        <w:t>附件：翻译硕士（</w:t>
      </w:r>
      <w:r w:rsidRPr="00FB47D9">
        <w:rPr>
          <w:rFonts w:ascii="仿宋_GB2312" w:eastAsia="仿宋_GB2312"/>
          <w:bCs/>
          <w:sz w:val="32"/>
          <w:szCs w:val="32"/>
        </w:rPr>
        <w:t>MTI</w:t>
      </w:r>
      <w:r w:rsidRPr="00FB47D9">
        <w:rPr>
          <w:rFonts w:ascii="仿宋_GB2312" w:eastAsia="仿宋_GB2312" w:hint="eastAsia"/>
          <w:bCs/>
          <w:sz w:val="32"/>
          <w:szCs w:val="32"/>
        </w:rPr>
        <w:t>）专业学位论文质量评审表</w:t>
      </w:r>
    </w:p>
    <w:p w:rsidR="00916335" w:rsidRPr="00FB47D9" w:rsidRDefault="00916335" w:rsidP="00916335">
      <w:pPr>
        <w:spacing w:line="600" w:lineRule="exact"/>
        <w:ind w:firstLineChars="200" w:firstLine="640"/>
        <w:jc w:val="left"/>
        <w:rPr>
          <w:rFonts w:ascii="Calibri" w:hAnsi="Verdana"/>
          <w:color w:val="000000"/>
          <w:kern w:val="0"/>
          <w:sz w:val="32"/>
          <w:szCs w:val="32"/>
        </w:rPr>
      </w:pPr>
    </w:p>
    <w:p w:rsidR="00916335" w:rsidRPr="00FB47D9" w:rsidRDefault="00916335" w:rsidP="00916335">
      <w:pPr>
        <w:spacing w:line="600" w:lineRule="exact"/>
        <w:ind w:firstLineChars="200" w:firstLine="640"/>
        <w:jc w:val="left"/>
        <w:rPr>
          <w:rFonts w:ascii="Calibri" w:hAnsi="Verdana"/>
          <w:color w:val="000000"/>
          <w:kern w:val="0"/>
          <w:sz w:val="32"/>
          <w:szCs w:val="32"/>
        </w:rPr>
      </w:pPr>
    </w:p>
    <w:p w:rsidR="00916335" w:rsidRPr="00FB47D9" w:rsidRDefault="00916335" w:rsidP="00916335">
      <w:pPr>
        <w:spacing w:line="600" w:lineRule="exact"/>
        <w:rPr>
          <w:rFonts w:ascii="黑体" w:eastAsia="黑体" w:hAnsi="宋体"/>
          <w:kern w:val="0"/>
          <w:sz w:val="32"/>
          <w:szCs w:val="32"/>
        </w:rPr>
      </w:pPr>
      <w:r w:rsidRPr="00FB47D9">
        <w:rPr>
          <w:rFonts w:ascii="宋体" w:hAnsi="宋体"/>
          <w:b/>
          <w:color w:val="333333"/>
          <w:kern w:val="0"/>
          <w:sz w:val="24"/>
          <w:szCs w:val="24"/>
        </w:rPr>
        <w:br w:type="page"/>
      </w:r>
      <w:r w:rsidRPr="00FB47D9">
        <w:rPr>
          <w:rFonts w:ascii="黑体" w:eastAsia="黑体" w:hAnsi="宋体" w:hint="eastAsia"/>
          <w:kern w:val="0"/>
          <w:sz w:val="32"/>
          <w:szCs w:val="32"/>
        </w:rPr>
        <w:lastRenderedPageBreak/>
        <w:t>附件：</w:t>
      </w:r>
    </w:p>
    <w:p w:rsidR="00916335" w:rsidRPr="00FB47D9" w:rsidRDefault="00916335" w:rsidP="00916335">
      <w:pPr>
        <w:spacing w:beforeLines="100" w:before="312" w:afterLines="50" w:after="156" w:line="600" w:lineRule="exact"/>
        <w:ind w:firstLine="847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FB47D9">
        <w:rPr>
          <w:rFonts w:ascii="华文中宋" w:eastAsia="华文中宋" w:hAnsi="华文中宋" w:hint="eastAsia"/>
          <w:b/>
          <w:kern w:val="0"/>
          <w:sz w:val="36"/>
          <w:szCs w:val="36"/>
        </w:rPr>
        <w:t>翻译硕士（</w:t>
      </w:r>
      <w:r w:rsidRPr="00FB47D9">
        <w:rPr>
          <w:rFonts w:ascii="华文中宋" w:eastAsia="华文中宋" w:hAnsi="华文中宋"/>
          <w:b/>
          <w:kern w:val="0"/>
          <w:sz w:val="36"/>
          <w:szCs w:val="36"/>
        </w:rPr>
        <w:t>MTI</w:t>
      </w:r>
      <w:r w:rsidRPr="00FB47D9">
        <w:rPr>
          <w:rFonts w:ascii="华文中宋" w:eastAsia="华文中宋" w:hAnsi="华文中宋" w:hint="eastAsia"/>
          <w:b/>
          <w:kern w:val="0"/>
          <w:sz w:val="36"/>
          <w:szCs w:val="36"/>
        </w:rPr>
        <w:t>）专业学位论文质量评审表</w:t>
      </w:r>
    </w:p>
    <w:tbl>
      <w:tblPr>
        <w:tblW w:w="91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4320"/>
        <w:gridCol w:w="1440"/>
        <w:gridCol w:w="1182"/>
        <w:gridCol w:w="978"/>
      </w:tblGrid>
      <w:tr w:rsidR="00916335" w:rsidRPr="00FB47D9" w:rsidTr="003C55B1">
        <w:trPr>
          <w:trHeight w:val="578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spacing w:line="600" w:lineRule="exact"/>
              <w:jc w:val="center"/>
              <w:rPr>
                <w:rFonts w:ascii="宋体" w:hAnsi="Calibri" w:cs="宋体"/>
                <w:b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Calibri" w:hAnsi="Calibri" w:cs="宋体" w:hint="eastAsia"/>
                <w:b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600" w:lineRule="exact"/>
              <w:jc w:val="center"/>
              <w:rPr>
                <w:rFonts w:ascii="宋体" w:hAnsi="Calibri" w:cs="宋体"/>
                <w:b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1440" w:type="dxa"/>
            <w:vAlign w:val="center"/>
          </w:tcPr>
          <w:p w:rsidR="00916335" w:rsidRPr="00FB47D9" w:rsidRDefault="00916335" w:rsidP="003C55B1">
            <w:pPr>
              <w:spacing w:line="600" w:lineRule="exact"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Calibri" w:hAnsi="Calibri" w:cs="宋体" w:hint="eastAsia"/>
                <w:b/>
                <w:color w:val="000000"/>
                <w:kern w:val="0"/>
                <w:sz w:val="24"/>
                <w:szCs w:val="24"/>
              </w:rPr>
              <w:t>百分制评分</w:t>
            </w: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600" w:lineRule="exact"/>
              <w:jc w:val="center"/>
              <w:rPr>
                <w:rFonts w:ascii="宋体" w:hAnsi="Calibri" w:cs="宋体"/>
                <w:b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Calibri" w:hAnsi="Calibri" w:cs="宋体" w:hint="eastAsia"/>
                <w:b/>
                <w:color w:val="000000"/>
                <w:kern w:val="0"/>
                <w:sz w:val="24"/>
                <w:szCs w:val="24"/>
              </w:rPr>
              <w:t>权重系数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600" w:lineRule="exact"/>
              <w:jc w:val="center"/>
              <w:rPr>
                <w:rFonts w:ascii="宋体" w:hAnsi="Calibri" w:cs="宋体"/>
                <w:b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Calibri" w:hAnsi="Calibri" w:cs="宋体" w:hint="eastAsia"/>
                <w:b/>
                <w:color w:val="000000"/>
                <w:kern w:val="0"/>
                <w:sz w:val="24"/>
                <w:szCs w:val="24"/>
              </w:rPr>
              <w:t>加权分</w:t>
            </w:r>
          </w:p>
        </w:tc>
      </w:tr>
      <w:tr w:rsidR="00916335" w:rsidRPr="00FB47D9" w:rsidTr="003C55B1">
        <w:trPr>
          <w:trHeight w:val="831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tabs>
                <w:tab w:val="left" w:pos="1080"/>
              </w:tabs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FB47D9">
              <w:rPr>
                <w:rFonts w:ascii="Calibri" w:hAnsi="Calibri" w:hint="eastAsia"/>
                <w:szCs w:val="22"/>
              </w:rPr>
              <w:t>选题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选题来源于翻译实践或翻译研究，具有翻译方向任务特征</w:t>
            </w:r>
          </w:p>
        </w:tc>
        <w:tc>
          <w:tcPr>
            <w:tcW w:w="1440" w:type="dxa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Calibri" w:hAnsi="Calibri"/>
                <w:color w:val="000000"/>
                <w:kern w:val="0"/>
                <w:sz w:val="24"/>
                <w:szCs w:val="22"/>
              </w:rPr>
              <w:t>0.15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16335" w:rsidRPr="00FB47D9" w:rsidTr="003C55B1">
        <w:trPr>
          <w:trHeight w:val="517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创新性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以新视角探索解决问题的途径和方法</w:t>
            </w:r>
          </w:p>
        </w:tc>
        <w:tc>
          <w:tcPr>
            <w:tcW w:w="1440" w:type="dxa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Calibri" w:hAnsi="Calibri"/>
                <w:color w:val="000000"/>
                <w:kern w:val="0"/>
                <w:sz w:val="24"/>
                <w:szCs w:val="22"/>
              </w:rPr>
              <w:t>0.10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16335" w:rsidRPr="00FB47D9" w:rsidTr="003C55B1">
        <w:trPr>
          <w:trHeight w:val="1848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FB47D9">
              <w:rPr>
                <w:rFonts w:ascii="Calibri" w:hAnsi="Calibri" w:hint="eastAsia"/>
                <w:szCs w:val="22"/>
              </w:rPr>
              <w:t>专业性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案例内容、分析及结论能体现相关学科领域的专门知识和专业能力，有严谨的专业规范性；工作量适当，具有一定的研究难度。</w:t>
            </w:r>
          </w:p>
        </w:tc>
        <w:tc>
          <w:tcPr>
            <w:tcW w:w="1440" w:type="dxa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Calibri" w:hAnsi="Calibri"/>
                <w:color w:val="000000"/>
                <w:kern w:val="0"/>
                <w:sz w:val="24"/>
                <w:szCs w:val="22"/>
              </w:rPr>
              <w:t>0.40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16335" w:rsidRPr="00FB47D9" w:rsidTr="003C55B1">
        <w:trPr>
          <w:trHeight w:val="477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tabs>
                <w:tab w:val="left" w:pos="1080"/>
              </w:tabs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FB47D9">
              <w:rPr>
                <w:rFonts w:ascii="Calibri" w:hAnsi="Calibri" w:hint="eastAsia"/>
                <w:szCs w:val="22"/>
              </w:rPr>
              <w:t>应用性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论文研究对翻译实践具有实际指导意义</w:t>
            </w:r>
          </w:p>
        </w:tc>
        <w:tc>
          <w:tcPr>
            <w:tcW w:w="1440" w:type="dxa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Calibri" w:hAnsi="Calibri"/>
                <w:color w:val="000000"/>
                <w:kern w:val="0"/>
                <w:sz w:val="24"/>
                <w:szCs w:val="22"/>
              </w:rPr>
              <w:t>0.20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16335" w:rsidRPr="00FB47D9" w:rsidTr="003C55B1">
        <w:trPr>
          <w:trHeight w:val="908"/>
          <w:jc w:val="center"/>
        </w:trPr>
        <w:tc>
          <w:tcPr>
            <w:tcW w:w="119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szCs w:val="22"/>
              </w:rPr>
            </w:pPr>
            <w:r w:rsidRPr="00FB47D9">
              <w:rPr>
                <w:rFonts w:ascii="Calibri" w:hAnsi="Calibri" w:hint="eastAsia"/>
                <w:szCs w:val="22"/>
              </w:rPr>
              <w:t>规范性</w:t>
            </w:r>
          </w:p>
        </w:tc>
        <w:tc>
          <w:tcPr>
            <w:tcW w:w="4320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资料引证、分析、文字、图表的准确和规范，附笔译译文或口译录音</w:t>
            </w:r>
            <w:r w:rsidRPr="00FB47D9"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  <w:t>/</w:t>
            </w:r>
            <w:r w:rsidRPr="00FB47D9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像</w:t>
            </w:r>
          </w:p>
        </w:tc>
        <w:tc>
          <w:tcPr>
            <w:tcW w:w="1440" w:type="dxa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2"/>
              </w:rPr>
            </w:pPr>
            <w:r w:rsidRPr="00FB47D9">
              <w:rPr>
                <w:rFonts w:ascii="Calibri" w:hAnsi="Calibri"/>
                <w:color w:val="000000"/>
                <w:kern w:val="0"/>
                <w:sz w:val="24"/>
                <w:szCs w:val="22"/>
              </w:rPr>
              <w:t>0.15</w:t>
            </w:r>
          </w:p>
        </w:tc>
        <w:tc>
          <w:tcPr>
            <w:tcW w:w="978" w:type="dxa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16335" w:rsidRPr="00FB47D9" w:rsidTr="003C55B1">
        <w:trPr>
          <w:trHeight w:val="766"/>
          <w:jc w:val="center"/>
        </w:trPr>
        <w:tc>
          <w:tcPr>
            <w:tcW w:w="5510" w:type="dxa"/>
            <w:gridSpan w:val="2"/>
            <w:vAlign w:val="center"/>
          </w:tcPr>
          <w:p w:rsidR="00916335" w:rsidRPr="00FB47D9" w:rsidRDefault="00916335" w:rsidP="003C55B1">
            <w:pPr>
              <w:spacing w:line="460" w:lineRule="exact"/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FB47D9">
              <w:rPr>
                <w:rFonts w:ascii="Calibri" w:hAnsi="Calibri" w:hint="eastAsia"/>
                <w:sz w:val="24"/>
                <w:szCs w:val="24"/>
              </w:rPr>
              <w:t>综合评价</w:t>
            </w:r>
          </w:p>
        </w:tc>
        <w:tc>
          <w:tcPr>
            <w:tcW w:w="3600" w:type="dxa"/>
            <w:gridSpan w:val="3"/>
            <w:vAlign w:val="center"/>
          </w:tcPr>
          <w:p w:rsidR="00916335" w:rsidRPr="00FB47D9" w:rsidRDefault="00916335" w:rsidP="003C55B1">
            <w:pPr>
              <w:spacing w:line="46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  <w:szCs w:val="22"/>
              </w:rPr>
            </w:pPr>
          </w:p>
        </w:tc>
      </w:tr>
    </w:tbl>
    <w:p w:rsidR="00916335" w:rsidRPr="00FB47D9" w:rsidRDefault="00916335" w:rsidP="00916335">
      <w:pPr>
        <w:spacing w:line="360" w:lineRule="exact"/>
        <w:ind w:firstLineChars="200" w:firstLine="420"/>
        <w:jc w:val="left"/>
        <w:rPr>
          <w:rFonts w:ascii="宋体" w:hAnsi="宋体"/>
        </w:rPr>
      </w:pPr>
      <w:r w:rsidRPr="00FB47D9">
        <w:rPr>
          <w:rFonts w:ascii="宋体" w:hAnsi="宋体" w:hint="eastAsia"/>
        </w:rPr>
        <w:t>注：评价结论为优秀、良好、合格、不合格四种。优秀：≥</w:t>
      </w:r>
      <w:r w:rsidRPr="00FB47D9">
        <w:rPr>
          <w:rFonts w:ascii="宋体" w:hAnsi="宋体"/>
        </w:rPr>
        <w:t>90</w:t>
      </w:r>
      <w:r w:rsidRPr="00FB47D9">
        <w:rPr>
          <w:rFonts w:ascii="宋体" w:hAnsi="宋体" w:hint="eastAsia"/>
        </w:rPr>
        <w:t>；良好</w:t>
      </w:r>
      <w:r w:rsidRPr="00FB47D9">
        <w:rPr>
          <w:rFonts w:ascii="宋体" w:hAnsi="宋体"/>
        </w:rPr>
        <w:t>89</w:t>
      </w:r>
      <w:r w:rsidRPr="00FB47D9">
        <w:rPr>
          <w:rFonts w:ascii="宋体" w:hAnsi="宋体" w:hint="eastAsia"/>
        </w:rPr>
        <w:t>～</w:t>
      </w:r>
      <w:r w:rsidRPr="00FB47D9">
        <w:rPr>
          <w:rFonts w:ascii="宋体" w:hAnsi="宋体"/>
        </w:rPr>
        <w:t>75</w:t>
      </w:r>
      <w:r w:rsidRPr="00FB47D9">
        <w:rPr>
          <w:rFonts w:ascii="宋体" w:hAnsi="宋体" w:hint="eastAsia"/>
        </w:rPr>
        <w:t>；合格：</w:t>
      </w:r>
      <w:r w:rsidRPr="00FB47D9">
        <w:rPr>
          <w:rFonts w:ascii="宋体" w:hAnsi="宋体"/>
        </w:rPr>
        <w:t>74</w:t>
      </w:r>
      <w:r w:rsidRPr="00FB47D9">
        <w:rPr>
          <w:rFonts w:ascii="宋体" w:hAnsi="宋体" w:hint="eastAsia"/>
        </w:rPr>
        <w:t>～</w:t>
      </w:r>
      <w:r w:rsidRPr="00FB47D9">
        <w:rPr>
          <w:rFonts w:ascii="宋体" w:hAnsi="宋体"/>
        </w:rPr>
        <w:t>60</w:t>
      </w:r>
      <w:r w:rsidRPr="00FB47D9">
        <w:rPr>
          <w:rFonts w:ascii="宋体" w:hAnsi="宋体" w:hint="eastAsia"/>
        </w:rPr>
        <w:t>；不合格：≤</w:t>
      </w:r>
      <w:r w:rsidRPr="00FB47D9">
        <w:rPr>
          <w:rFonts w:ascii="宋体" w:hAnsi="宋体"/>
        </w:rPr>
        <w:t>59</w:t>
      </w:r>
      <w:r w:rsidRPr="00FB47D9">
        <w:rPr>
          <w:rFonts w:ascii="宋体" w:hAnsi="宋体" w:hint="eastAsia"/>
        </w:rPr>
        <w:t>。</w:t>
      </w:r>
    </w:p>
    <w:p w:rsidR="00E02707" w:rsidRPr="00916335" w:rsidRDefault="00E02707">
      <w:bookmarkStart w:id="0" w:name="_GoBack"/>
      <w:bookmarkEnd w:id="0"/>
    </w:p>
    <w:sectPr w:rsidR="00E02707" w:rsidRPr="0091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916335"/>
    <w:rsid w:val="00E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2015-09-17T03:42:00Z</dcterms:created>
  <dcterms:modified xsi:type="dcterms:W3CDTF">2015-09-17T03:43:00Z</dcterms:modified>
</cp:coreProperties>
</file>